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2224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10/10/2024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602"/>
      </w:pPr>
      <w:r>
        <w:rPr/>
        <w:t>1ª convocatoria: 15 de octubre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pict>
          <v:shape style="position:absolute;margin-left:548.498352pt;margin-top:13.889297pt;width:20.75pt;height:251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4AWR6KJSRPEKSEJCTKPWW5JW9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2.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1817pt;width:453.55pt;height:83.15pt;mso-position-horizontal-relative:page;mso-position-vertical-relative:paragraph;z-index:-15727104;mso-wrap-distance-left:0;mso-wrap-distance-right:0" coordorigin="1418,259" coordsize="9071,1663">
            <v:shape style="position:absolute;left:1417;top:259;width:9071;height:1663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613" w:right="2514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8"/>
        </w:rPr>
      </w:pPr>
      <w:r>
        <w:rPr/>
        <w:pict>
          <v:rect style="position:absolute;margin-left:70.875pt;margin-top:12.3807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before="94"/>
        <w:ind w:left="2613" w:right="2514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-113133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165"/>
        <w:ind w:left="2613" w:right="2516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2024-11-19T09:05:10Z</dcterms:created>
  <dcterms:modified xsi:type="dcterms:W3CDTF">2024-11-19T09:05:10Z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LastSaved">
    <vt:filetime>2024-11-19T00:00:00Z</vt:filetime>
  </property>
</Properties>
</file>